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C53CD5C"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65F3E">
        <w:rPr>
          <w:rFonts w:cs="B Mitra" w:hint="cs"/>
          <w:b/>
          <w:bCs/>
          <w:sz w:val="32"/>
          <w:szCs w:val="32"/>
          <w:rtl/>
          <w:lang w:bidi="fa-IR"/>
        </w:rPr>
        <w:t>4</w:t>
      </w:r>
      <w:r w:rsidR="00636E90">
        <w:rPr>
          <w:rFonts w:cs="B Mitra" w:hint="cs"/>
          <w:b/>
          <w:bCs/>
          <w:sz w:val="32"/>
          <w:szCs w:val="32"/>
          <w:rtl/>
          <w:lang w:bidi="fa-IR"/>
        </w:rPr>
        <w:t>5</w:t>
      </w:r>
    </w:p>
    <w:p w14:paraId="0A09620B" w14:textId="77777777" w:rsidR="00636E90" w:rsidRDefault="00636E90" w:rsidP="00636E90">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p>
    <w:p w14:paraId="73937CDE" w14:textId="21F493D1"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جلسه قبل گفتيم که اگر زوجه قبل از وطء، ذمه زوج را از مهر المثل ابراء نمايد، عرف اين ابراء را مقبول و دارای اثر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داند، زيرا هم جزء سبب برای ثبوت مهر المثل ـ يعنی زوجيت ـ ثابت است و هم اين که زوجه در معرض وطء زوج قرار دارد.</w:t>
      </w:r>
    </w:p>
    <w:p w14:paraId="617C6B60" w14:textId="0131EE66"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برخی در نظاير اين مسأله گفته</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اند که اين موارد، از موارد اسقاط ما لم يجب نيست، بلکه اعلام رضايتی است که سبب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اصلاً چيزی ثابت نشود، نه اين که بعد از ثبوت، سبب سقوط آن گردد. به عبارت ديگر اين نحو از بيان رضايت، دافع به حساب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آيد نه رافع.</w:t>
      </w:r>
    </w:p>
    <w:p w14:paraId="7D302BF8" w14:textId="77777777"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ولی اشکالی که بر آن وارد است اين است که ثبوت برخی از امور قهری است و اعلام رضايت سبب عدم ثبوت آنها نمی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مثلاً ثبوت مهر المثل به واسطه وطی در مفوّضة البضع متوقّف بر چيزی نيست تا اين که با وجود رضايت زوجه به عدم آن، قائل به عدم ثبوت مهر المثل شويم، بلکه امری قهری است. همچنان که ثبوت ديه در جنايات امری قهری است و اعلام رضايت قبلی مجنی عليه، دافع ثبوت آن نيست.</w:t>
      </w:r>
    </w:p>
    <w:p w14:paraId="3C13D117" w14:textId="77777777"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بلکه در برخی از موارد عدم شغل ذمه سبب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معامله واقع نشود؛ مثلاً در تعريف قرض گفته شده است که قرض به معنای تمليک مال به غير در برابر شغل ذمه او به آن مال است، بنابر اين اگر گفته شود که ابراء مستقرض قبل از قرض موجب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با قرض ذمه او مشغول نشود، اين مطلب سبب منع از تحقق قرض خواهد شد.</w:t>
      </w:r>
    </w:p>
    <w:p w14:paraId="5F492CE8" w14:textId="77777777"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بله، در خصوص تصرف در اموال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ملتزم شد که ابراء قبل از ثبوت ضمان، عرفاً به معنای اباحه تصرف است که موجب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ضمانی به واسطه تصرف غير مالک، ثابت نشود.</w:t>
      </w:r>
    </w:p>
    <w:p w14:paraId="154C9A0C" w14:textId="77777777"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فلذا محقق مراغی در عناوين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«إ</w:t>
      </w:r>
      <w:r w:rsidRPr="002C5DEA">
        <w:rPr>
          <w:rFonts w:ascii="Traditional Arabic" w:hAnsi="Traditional Arabic" w:cs="Abz-2 (Badr)" w:hint="cs"/>
          <w:color w:val="000000"/>
          <w:spacing w:val="-2"/>
          <w:sz w:val="28"/>
          <w:szCs w:val="28"/>
          <w:rtl/>
          <w:lang w:bidi="fa-IR"/>
        </w:rPr>
        <w:t>ن</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هذا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ليس</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إسقاطا</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للضمان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الذم</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ة</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حت</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ى</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ينفع</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قبل</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الثبوت،</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بل</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لم</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كان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lastRenderedPageBreak/>
        <w:t>الضمان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إن</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ما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يترت</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ب</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على</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الإتلاف</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واليد</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ونحو</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ذلك</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إذا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لم</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يكن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ذلك</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رضا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المالك</w:t>
      </w:r>
      <w:r>
        <w:rPr>
          <w:rFonts w:ascii="Traditional Arabic" w:hAnsi="Traditional Arabic" w:cs="Abz-2 (Badr)" w:hint="cs"/>
          <w:color w:val="000000"/>
          <w:spacing w:val="-2"/>
          <w:sz w:val="28"/>
          <w:szCs w:val="28"/>
          <w:rtl/>
          <w:lang w:bidi="fa-IR"/>
        </w:rPr>
        <w:t xml:space="preserve"> ـ</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للأدل</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ة</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الدال</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ة</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على</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حل</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ي</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ة</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مال</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الغير</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برضا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نفسه،</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بمعنى</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كون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المال</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الذي</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أباحه</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صاحبه</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كملك</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المتصر</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ف</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في</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عدم</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الغرامة</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عليه</w:t>
      </w:r>
      <w:r>
        <w:rPr>
          <w:rFonts w:ascii="Traditional Arabic" w:hAnsi="Traditional Arabic" w:cs="Abz-2 (Badr)" w:hint="cs"/>
          <w:color w:val="000000"/>
          <w:spacing w:val="-2"/>
          <w:sz w:val="28"/>
          <w:szCs w:val="28"/>
          <w:rtl/>
          <w:lang w:bidi="fa-IR"/>
        </w:rPr>
        <w:t xml:space="preserve"> ـ</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فهذا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الإذن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محق</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ق</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لموضوع</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الإباحة</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حت</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ى</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يتحق</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ق</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الضمان،</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لا</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أن</w:t>
      </w:r>
      <w:r>
        <w:rPr>
          <w:rFonts w:ascii="Traditional Arabic" w:hAnsi="Traditional Arabic" w:cs="Abz-2 (Badr)" w:hint="cs"/>
          <w:color w:val="000000"/>
          <w:spacing w:val="-2"/>
          <w:sz w:val="28"/>
          <w:szCs w:val="28"/>
          <w:rtl/>
          <w:lang w:bidi="fa-IR"/>
        </w:rPr>
        <w:t>ّ</w:t>
      </w:r>
      <w:r w:rsidRPr="002C5DEA">
        <w:rPr>
          <w:rFonts w:ascii="Traditional Arabic" w:hAnsi="Traditional Arabic" w:cs="Abz-2 (Badr)" w:hint="cs"/>
          <w:color w:val="000000"/>
          <w:spacing w:val="-2"/>
          <w:sz w:val="28"/>
          <w:szCs w:val="28"/>
          <w:rtl/>
          <w:lang w:bidi="fa-IR"/>
        </w:rPr>
        <w:t>ه</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إسقاط</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على</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فرض</w:t>
      </w:r>
      <w:r w:rsidRPr="002C5DEA">
        <w:rPr>
          <w:rFonts w:ascii="Traditional Arabic" w:hAnsi="Traditional Arabic" w:cs="Abz-2 (Badr)"/>
          <w:color w:val="000000"/>
          <w:spacing w:val="-2"/>
          <w:sz w:val="28"/>
          <w:szCs w:val="28"/>
          <w:rtl/>
          <w:lang w:bidi="fa-IR"/>
        </w:rPr>
        <w:t xml:space="preserve"> </w:t>
      </w:r>
      <w:r w:rsidRPr="002C5DEA">
        <w:rPr>
          <w:rFonts w:ascii="Traditional Arabic" w:hAnsi="Traditional Arabic" w:cs="Abz-2 (Badr)" w:hint="cs"/>
          <w:color w:val="000000"/>
          <w:spacing w:val="-2"/>
          <w:sz w:val="28"/>
          <w:szCs w:val="28"/>
          <w:rtl/>
          <w:lang w:bidi="fa-IR"/>
        </w:rPr>
        <w:t>ثبوته</w:t>
      </w:r>
      <w:r>
        <w:rPr>
          <w:rFonts w:ascii="Traditional Arabic" w:hAnsi="Traditional Arabic" w:cs="Abz-2 (Badr)" w:hint="cs"/>
          <w:color w:val="000000"/>
          <w:spacing w:val="-2"/>
          <w:sz w:val="28"/>
          <w:szCs w:val="28"/>
          <w:rtl/>
          <w:lang w:bidi="fa-IR"/>
        </w:rPr>
        <w:t>.»</w:t>
      </w:r>
      <w:r>
        <w:rPr>
          <w:vertAlign w:val="superscript"/>
          <w:rtl/>
        </w:rPr>
        <w:footnoteReference w:id="1"/>
      </w:r>
    </w:p>
    <w:p w14:paraId="36BE8910" w14:textId="77777777" w:rsidR="00636E90" w:rsidRDefault="00636E90" w:rsidP="00CC7D98">
      <w:pPr>
        <w:pStyle w:val="NormalWeb"/>
        <w:widowControl w:val="0"/>
        <w:bidi/>
        <w:spacing w:before="0" w:beforeAutospacing="0" w:after="0" w:afterAutospacing="0" w:line="264"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آيت الله حکيم نيز در رد اشکال ابن ادريس مبنی بر عدم برائت طبيبی که قبل از عمل از مريض اخذ برائت کرده است به اين حجت که اين مطلب از قبيل اسقاط ما لم يجب است،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فرمايد: «إ</w:t>
      </w:r>
      <w:r w:rsidRPr="00624604">
        <w:rPr>
          <w:rFonts w:ascii="Traditional Arabic" w:hAnsi="Traditional Arabic" w:cs="Abz-2 (Badr)" w:hint="cs"/>
          <w:color w:val="000000"/>
          <w:spacing w:val="-2"/>
          <w:sz w:val="28"/>
          <w:szCs w:val="28"/>
          <w:rtl/>
          <w:lang w:bidi="fa-IR"/>
        </w:rPr>
        <w:t>ن</w:t>
      </w:r>
      <w:r>
        <w:rPr>
          <w:rFonts w:ascii="Traditional Arabic" w:hAnsi="Traditional Arabic" w:cs="Abz-2 (Badr)" w:hint="cs"/>
          <w:color w:val="000000"/>
          <w:spacing w:val="-2"/>
          <w:sz w:val="28"/>
          <w:szCs w:val="28"/>
          <w:rtl/>
          <w:lang w:bidi="fa-IR"/>
        </w:rPr>
        <w:t>ّ</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ما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ذكر</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لا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يتم</w:t>
      </w:r>
      <w:r>
        <w:rPr>
          <w:rFonts w:ascii="Traditional Arabic" w:hAnsi="Traditional Arabic" w:cs="Abz-2 (Badr)" w:hint="cs"/>
          <w:color w:val="000000"/>
          <w:spacing w:val="-2"/>
          <w:sz w:val="28"/>
          <w:szCs w:val="28"/>
          <w:rtl/>
          <w:lang w:bidi="fa-IR"/>
        </w:rPr>
        <w:t>ّ</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لو</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كانت</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البراءة</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شرطاً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في</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عقد</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الإجارة،</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لأن</w:t>
      </w:r>
      <w:r>
        <w:rPr>
          <w:rFonts w:ascii="Traditional Arabic" w:hAnsi="Traditional Arabic" w:cs="Abz-2 (Badr)" w:hint="cs"/>
          <w:color w:val="000000"/>
          <w:spacing w:val="-2"/>
          <w:sz w:val="28"/>
          <w:szCs w:val="28"/>
          <w:rtl/>
          <w:lang w:bidi="fa-IR"/>
        </w:rPr>
        <w:t>ّ</w:t>
      </w:r>
      <w:r w:rsidRPr="00624604">
        <w:rPr>
          <w:rFonts w:ascii="Traditional Arabic" w:hAnsi="Traditional Arabic" w:cs="Abz-2 (Badr)" w:hint="cs"/>
          <w:color w:val="000000"/>
          <w:spacing w:val="-2"/>
          <w:sz w:val="28"/>
          <w:szCs w:val="28"/>
          <w:rtl/>
          <w:lang w:bidi="fa-IR"/>
        </w:rPr>
        <w:t>ه</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ليس</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من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w:t>
      </w:r>
      <w:r>
        <w:rPr>
          <w:rFonts w:ascii="Traditional Arabic" w:hAnsi="Traditional Arabic" w:cs="Abz-2 (Badr)" w:hint="cs"/>
          <w:color w:val="000000"/>
          <w:spacing w:val="-2"/>
          <w:sz w:val="28"/>
          <w:szCs w:val="28"/>
          <w:rtl/>
          <w:lang w:bidi="fa-IR"/>
        </w:rPr>
        <w:t>إ</w:t>
      </w:r>
      <w:r w:rsidRPr="00624604">
        <w:rPr>
          <w:rFonts w:ascii="Traditional Arabic" w:hAnsi="Traditional Arabic" w:cs="Abz-2 (Badr)" w:hint="cs"/>
          <w:color w:val="000000"/>
          <w:spacing w:val="-2"/>
          <w:sz w:val="28"/>
          <w:szCs w:val="28"/>
          <w:rtl/>
          <w:lang w:bidi="fa-IR"/>
        </w:rPr>
        <w:t>سقاط</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قبل</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الثبوت،</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بل</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هو</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من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شرط</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السقوط</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كما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في</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شرط</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سقوط</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الخيار</w:t>
      </w:r>
      <w:r w:rsidRPr="00624604">
        <w:rPr>
          <w:rFonts w:ascii="Traditional Arabic" w:hAnsi="Traditional Arabic" w:cs="Abz-2 (Badr)"/>
          <w:color w:val="000000"/>
          <w:spacing w:val="-2"/>
          <w:sz w:val="28"/>
          <w:szCs w:val="28"/>
          <w:rtl/>
          <w:lang w:bidi="fa-IR"/>
        </w:rPr>
        <w:t>.</w:t>
      </w:r>
    </w:p>
    <w:p w14:paraId="469D0853" w14:textId="77777777" w:rsidR="00636E90" w:rsidRDefault="00636E90"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sidRPr="00624604">
        <w:rPr>
          <w:rFonts w:ascii="Traditional Arabic" w:hAnsi="Traditional Arabic" w:cs="Abz-2 (Badr)" w:hint="cs"/>
          <w:color w:val="000000"/>
          <w:spacing w:val="-2"/>
          <w:sz w:val="28"/>
          <w:szCs w:val="28"/>
          <w:rtl/>
          <w:lang w:bidi="fa-IR"/>
        </w:rPr>
        <w:t>اللهم</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إلا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أن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يقال</w:t>
      </w:r>
      <w:r w:rsidRPr="00624604">
        <w:rPr>
          <w:rFonts w:ascii="Traditional Arabic" w:hAnsi="Traditional Arabic" w:cs="Abz-2 (Badr)"/>
          <w:color w:val="000000"/>
          <w:spacing w:val="-2"/>
          <w:sz w:val="28"/>
          <w:szCs w:val="28"/>
          <w:rtl/>
          <w:lang w:bidi="fa-IR"/>
        </w:rPr>
        <w:t>:</w:t>
      </w:r>
      <w:r>
        <w:rPr>
          <w:rFonts w:ascii="Traditional Arabic" w:hAnsi="Traditional Arabic" w:cs="Abz-2 (Badr)" w:hint="cs"/>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إن</w:t>
      </w:r>
      <w:r>
        <w:rPr>
          <w:rFonts w:ascii="Traditional Arabic" w:hAnsi="Traditional Arabic" w:cs="Abz-2 (Badr)" w:hint="cs"/>
          <w:color w:val="000000"/>
          <w:spacing w:val="-2"/>
          <w:sz w:val="28"/>
          <w:szCs w:val="28"/>
          <w:rtl/>
          <w:lang w:bidi="fa-IR"/>
        </w:rPr>
        <w:t>ّ</w:t>
      </w:r>
      <w:r w:rsidRPr="00624604">
        <w:rPr>
          <w:rFonts w:ascii="Traditional Arabic" w:hAnsi="Traditional Arabic" w:cs="Abz-2 (Badr)" w:hint="cs"/>
          <w:color w:val="000000"/>
          <w:spacing w:val="-2"/>
          <w:sz w:val="28"/>
          <w:szCs w:val="28"/>
          <w:rtl/>
          <w:lang w:bidi="fa-IR"/>
        </w:rPr>
        <w:t>ه</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من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شرط</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النتيجة</w:t>
      </w:r>
      <w:r w:rsidRPr="00624604">
        <w:rPr>
          <w:rFonts w:ascii="Traditional Arabic" w:hAnsi="Traditional Arabic" w:cs="Abz-2 (Badr)"/>
          <w:color w:val="000000"/>
          <w:spacing w:val="-2"/>
          <w:sz w:val="28"/>
          <w:szCs w:val="28"/>
          <w:rtl/>
          <w:lang w:bidi="fa-IR"/>
        </w:rPr>
        <w:t>.</w:t>
      </w:r>
    </w:p>
    <w:p w14:paraId="11552602" w14:textId="77777777" w:rsidR="00636E90" w:rsidRPr="00624604" w:rsidRDefault="00636E90" w:rsidP="0044431B">
      <w:pPr>
        <w:pStyle w:val="NormalWeb"/>
        <w:widowControl w:val="0"/>
        <w:bidi/>
        <w:spacing w:before="0" w:beforeAutospacing="0" w:after="0" w:afterAutospacing="0" w:line="252" w:lineRule="auto"/>
        <w:ind w:firstLine="284"/>
        <w:jc w:val="both"/>
        <w:rPr>
          <w:rFonts w:cs="Noor_Nazli"/>
          <w:sz w:val="36"/>
          <w:szCs w:val="36"/>
          <w:rtl/>
          <w:lang w:bidi="fa-IR"/>
        </w:rPr>
      </w:pPr>
      <w:r w:rsidRPr="00624604">
        <w:rPr>
          <w:rFonts w:ascii="Traditional Arabic" w:hAnsi="Traditional Arabic" w:cs="Abz-2 (Badr)" w:hint="cs"/>
          <w:color w:val="000000"/>
          <w:spacing w:val="-2"/>
          <w:sz w:val="28"/>
          <w:szCs w:val="28"/>
          <w:rtl/>
          <w:lang w:bidi="fa-IR"/>
        </w:rPr>
        <w:t>لكن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عرفت</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قريباً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الكلام</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فيه</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وأن</w:t>
      </w:r>
      <w:r>
        <w:rPr>
          <w:rFonts w:ascii="Traditional Arabic" w:hAnsi="Traditional Arabic" w:cs="Abz-2 (Badr)" w:hint="cs"/>
          <w:color w:val="000000"/>
          <w:spacing w:val="-2"/>
          <w:sz w:val="28"/>
          <w:szCs w:val="28"/>
          <w:rtl/>
          <w:lang w:bidi="fa-IR"/>
        </w:rPr>
        <w:t>ّ</w:t>
      </w:r>
      <w:r w:rsidRPr="00624604">
        <w:rPr>
          <w:rFonts w:ascii="Traditional Arabic" w:hAnsi="Traditional Arabic" w:cs="Abz-2 (Badr)" w:hint="cs"/>
          <w:color w:val="000000"/>
          <w:spacing w:val="-2"/>
          <w:sz w:val="28"/>
          <w:szCs w:val="28"/>
          <w:rtl/>
          <w:lang w:bidi="fa-IR"/>
        </w:rPr>
        <w:t>ه</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لا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بأس</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به</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إذا</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كان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المقصود</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إنشاء</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النتيجة</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في</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ضمن</w:t>
      </w:r>
      <w:r w:rsidRPr="00624604">
        <w:rPr>
          <w:rFonts w:ascii="Traditional Arabic" w:hAnsi="Traditional Arabic" w:cs="Abz-2 (Badr)"/>
          <w:color w:val="000000"/>
          <w:spacing w:val="-2"/>
          <w:sz w:val="28"/>
          <w:szCs w:val="28"/>
          <w:rtl/>
          <w:lang w:bidi="fa-IR"/>
        </w:rPr>
        <w:t xml:space="preserve"> </w:t>
      </w:r>
      <w:r w:rsidRPr="00624604">
        <w:rPr>
          <w:rFonts w:ascii="Traditional Arabic" w:hAnsi="Traditional Arabic" w:cs="Abz-2 (Badr)" w:hint="cs"/>
          <w:color w:val="000000"/>
          <w:spacing w:val="-2"/>
          <w:sz w:val="28"/>
          <w:szCs w:val="28"/>
          <w:rtl/>
          <w:lang w:bidi="fa-IR"/>
        </w:rPr>
        <w:t>العقد</w:t>
      </w:r>
      <w:r w:rsidRPr="00624604">
        <w:rPr>
          <w:rFonts w:ascii="Traditional Arabic" w:hAnsi="Traditional Arabic" w:cs="Abz-2 (Badr)"/>
          <w:color w:val="000000"/>
          <w:spacing w:val="-2"/>
          <w:sz w:val="28"/>
          <w:szCs w:val="28"/>
          <w:rtl/>
          <w:lang w:bidi="fa-IR"/>
        </w:rPr>
        <w:t>.</w:t>
      </w:r>
      <w:r>
        <w:rPr>
          <w:rFonts w:ascii="Traditional Arabic" w:hAnsi="Traditional Arabic" w:cs="Abz-2 (Badr)" w:hint="cs"/>
          <w:color w:val="000000"/>
          <w:spacing w:val="-2"/>
          <w:sz w:val="28"/>
          <w:szCs w:val="28"/>
          <w:rtl/>
          <w:lang w:bidi="fa-IR"/>
        </w:rPr>
        <w:t>»</w:t>
      </w:r>
      <w:r>
        <w:rPr>
          <w:vertAlign w:val="superscript"/>
          <w:rtl/>
        </w:rPr>
        <w:footnoteReference w:id="2"/>
      </w:r>
    </w:p>
    <w:p w14:paraId="0A9FC3A4" w14:textId="77777777" w:rsidR="00636E90" w:rsidRDefault="00636E90"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ولی اين مطلب در صورت تماميت فقط در صورتی مفيد فايده خواهد بود که در ضمن عقد شرط سقوط ضمان شود. مضافاً بر اين در صورتی که بخواهيم با شرط مسأله را حل کنيم، لازم نيست شرط سقوط ضمان شود تا اين که اشکال شرط نتيجه بر آن وارد گردد، بلکه مشروط له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شرط کند که مشروط عليه اخذ به ضمان نکند.</w:t>
      </w:r>
    </w:p>
    <w:p w14:paraId="2E2124CC" w14:textId="77777777" w:rsidR="00636E90" w:rsidRDefault="00636E90"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مگر اين که اشکال شود که در اين صورت مشروط عليه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تواند اخذ به ضمان کند و اثر وضعی بر مطالبه او مترتب است هرچند به واسطه مخالفت با شرط، مرتکب فعل حرام شده است.</w:t>
      </w:r>
    </w:p>
    <w:p w14:paraId="488D851E" w14:textId="77777777" w:rsidR="00636E90" w:rsidRPr="006C5213" w:rsidRDefault="00636E90"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ولی پاسخ همان مطلبی است که سابقاً گفتيم مبنی بر اين که در صورت اشتراط عدم فعل اعتباری، مخالفت با شرط علاوه بر اين که دارای اثر تکليفی است، سبب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اثر وضعی فعل اعتباری نيز منتفی گردد.</w:t>
      </w:r>
    </w:p>
    <w:p w14:paraId="39201179" w14:textId="031BC665" w:rsidR="003077B0" w:rsidRDefault="00AA75DF"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اما ممکن است در خصوص جواز اسقاط ما لم يجب اشکال شود که اگر اين مطلب جايز باشد، چنانچه بعداً طرفين توافق بر عدم سقوط نمايند، اين ابراء عرفاً کأن لم يکن در نظر گرفته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ـ مثلاً اگر زوجه ذمه زوج را قبل از وطء، از مهر المثل ابراء نمايد و سپس قبل از اين که وطء انجام شود، دوباره با زوج توافق کند که در صورت وطء، مهر المثل به وی پرداخت گردد، عرف قائل به استحقاق زوجه برای مهر المثل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ـ در حالی که سابقاً گفته شد که ابراء در صورتی که واقع شود، قابل رجوع نيست.</w:t>
      </w:r>
    </w:p>
    <w:p w14:paraId="42CAF8F7" w14:textId="7209AB63" w:rsidR="00AA75DF" w:rsidRDefault="002A3D74"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lastRenderedPageBreak/>
        <w:t>پاسخ اين است که توافق طرفين بر شغل ذمه بعد از اسقاط ما لم يجب، خروج از فرض مسأله است، زيرا توافق چنانچه در ضمن عقدی واقع شده باشد و يا اين که به نحو شرط ابتدائی باشد ـ زيرا به نظر ما شرط ابتدائی نيز وجوب التزام دارد ـ در اين صورت سبب رجوع آنچه که ساقط شده بود، نخواهد شد و ضمانی مستند به قاعده يد يا اتلاف را ثابت نخواهد کرد، بلکه بر مشروط عليه لازم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که معادل آنچه که در صورت ثبوت ضمان دفع آن بر وی واجب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 xml:space="preserve">شد را از باب لزوم وفای به شرط به مشروط له بپردازد. </w:t>
      </w:r>
    </w:p>
    <w:p w14:paraId="4339463F" w14:textId="5D40327E" w:rsidR="00D06223" w:rsidRDefault="00D06223" w:rsidP="0044431B">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اگر گفته شود: نظير همين پاسخ را در مواردی که سابقاً ادعا شد که اسقاط ما لم يجب در آنها خلاف عرف است و برای اين مدعا استدلال به جواز رجوع از ابراء شد، نيز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توان بيان کرد.</w:t>
      </w:r>
    </w:p>
    <w:p w14:paraId="19002435" w14:textId="2D5897A6" w:rsidR="00D06223" w:rsidRPr="008C7B1F" w:rsidRDefault="00D06223" w:rsidP="0043017E">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پاسخ اين است که در آن موارد مدعا اين بود که اگر کسی که ابراء را انجام داده است به طور يک طرفه و بدون توافق با شخص ديگری از ابراء خود بازگردد، عرف اين بازگشت را مقبول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داند، در حالی که در ما نحن مدعا اي</w:t>
      </w:r>
      <w:r w:rsidR="0044431B">
        <w:rPr>
          <w:rFonts w:ascii="Traditional Arabic" w:hAnsi="Traditional Arabic" w:cs="Abz-2 (Badr)" w:hint="cs"/>
          <w:color w:val="000000"/>
          <w:spacing w:val="-2"/>
          <w:sz w:val="28"/>
          <w:szCs w:val="28"/>
          <w:rtl/>
          <w:lang w:bidi="fa-IR"/>
        </w:rPr>
        <w:t>ن</w:t>
      </w:r>
      <w:r>
        <w:rPr>
          <w:rFonts w:ascii="Traditional Arabic" w:hAnsi="Traditional Arabic" w:cs="Abz-2 (Badr)" w:hint="cs"/>
          <w:color w:val="000000"/>
          <w:spacing w:val="-2"/>
          <w:sz w:val="28"/>
          <w:szCs w:val="28"/>
          <w:rtl/>
          <w:lang w:bidi="fa-IR"/>
        </w:rPr>
        <w:t xml:space="preserve"> است که طرفين توافق بر اين نمايند که ذمه کسی که ابراء شده بوده، دوباره مشغول شود و اين دو مطلب با يکديگر متفاوت است.</w:t>
      </w:r>
    </w:p>
    <w:sectPr w:rsidR="00D06223" w:rsidRPr="008C7B1F" w:rsidSect="009C092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0491D" w14:textId="77777777" w:rsidR="003A36C1" w:rsidRDefault="003A36C1" w:rsidP="00F71127">
      <w:pPr>
        <w:spacing w:after="0" w:line="240" w:lineRule="auto"/>
      </w:pPr>
      <w:r>
        <w:separator/>
      </w:r>
    </w:p>
  </w:endnote>
  <w:endnote w:type="continuationSeparator" w:id="0">
    <w:p w14:paraId="4FD1B90C" w14:textId="77777777" w:rsidR="003A36C1" w:rsidRDefault="003A36C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63ACF" w14:textId="77777777" w:rsidR="009C0929" w:rsidRDefault="009C0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CA75" w14:textId="77777777" w:rsidR="009C0929" w:rsidRDefault="009C0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7E70B" w14:textId="77777777" w:rsidR="003A36C1" w:rsidRDefault="003A36C1" w:rsidP="00EE25C0">
      <w:pPr>
        <w:bidi/>
        <w:spacing w:after="0" w:line="240" w:lineRule="auto"/>
      </w:pPr>
      <w:r>
        <w:separator/>
      </w:r>
    </w:p>
  </w:footnote>
  <w:footnote w:type="continuationSeparator" w:id="0">
    <w:p w14:paraId="1AF80C54" w14:textId="77777777" w:rsidR="003A36C1" w:rsidRDefault="003A36C1" w:rsidP="00F71127">
      <w:pPr>
        <w:bidi/>
        <w:spacing w:after="0" w:line="240" w:lineRule="auto"/>
      </w:pPr>
      <w:r>
        <w:continuationSeparator/>
      </w:r>
    </w:p>
  </w:footnote>
  <w:footnote w:id="1">
    <w:p w14:paraId="7838B606" w14:textId="77777777" w:rsidR="00636E90" w:rsidRPr="00474923" w:rsidRDefault="00636E90" w:rsidP="00636E90">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عناوين،ج2،ص514</w:t>
      </w:r>
      <w:r w:rsidRPr="00474923">
        <w:rPr>
          <w:rFonts w:cs="Abz-2 (Badr)" w:hint="cs"/>
          <w:rtl/>
          <w:lang w:bidi="fa-IR"/>
        </w:rPr>
        <w:t>.</w:t>
      </w:r>
    </w:p>
  </w:footnote>
  <w:footnote w:id="2">
    <w:p w14:paraId="32ABF420" w14:textId="5ABD7DF8" w:rsidR="00636E90" w:rsidRPr="00474923" w:rsidRDefault="00636E90" w:rsidP="00636E90">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مستمس</w:t>
      </w:r>
      <w:r>
        <w:rPr>
          <w:rFonts w:cs="Abz-2 (Badr)" w:hint="cs"/>
          <w:rtl/>
        </w:rPr>
        <w:t>ك</w:t>
      </w:r>
      <w:r>
        <w:rPr>
          <w:rFonts w:cs="Abz-2 (Badr)" w:hint="cs"/>
          <w:rtl/>
          <w:lang w:bidi="fa-IR"/>
        </w:rPr>
        <w:t>،</w:t>
      </w:r>
      <w:r w:rsidR="00321923">
        <w:rPr>
          <w:rFonts w:cs="Abz-2 (Badr)" w:hint="cs"/>
          <w:rtl/>
          <w:lang w:bidi="fa-IR"/>
        </w:rPr>
        <w:t>ج12،ص81</w:t>
      </w:r>
      <w:r w:rsidR="00321923"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D03B2" w14:textId="77777777" w:rsidR="009C0929" w:rsidRDefault="009C0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18C7" w14:textId="27DE207A" w:rsidR="009C0929" w:rsidRDefault="009C0929">
    <w:pPr>
      <w:pStyle w:val="Header"/>
    </w:pPr>
    <w:r>
      <w:rPr>
        <w:noProof/>
      </w:rPr>
      <mc:AlternateContent>
        <mc:Choice Requires="wps">
          <w:drawing>
            <wp:anchor distT="45720" distB="45720" distL="114300" distR="114300" simplePos="0" relativeHeight="251661312" behindDoc="0" locked="0" layoutInCell="1" allowOverlap="1" wp14:anchorId="0F90A28B" wp14:editId="3E73505D">
              <wp:simplePos x="0" y="0"/>
              <wp:positionH relativeFrom="column">
                <wp:posOffset>1362710</wp:posOffset>
              </wp:positionH>
              <wp:positionV relativeFrom="paragraph">
                <wp:posOffset>182880</wp:posOffset>
              </wp:positionV>
              <wp:extent cx="4305300" cy="14020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1402080"/>
                      </a:xfrm>
                      <a:prstGeom prst="rect">
                        <a:avLst/>
                      </a:prstGeom>
                      <a:solidFill>
                        <a:srgbClr val="FFFFFF"/>
                      </a:solidFill>
                      <a:ln w="9525">
                        <a:noFill/>
                        <a:miter lim="800000"/>
                        <a:headEnd/>
                        <a:tailEnd/>
                      </a:ln>
                    </wps:spPr>
                    <wps:txbx>
                      <w:txbxContent>
                        <w:p w14:paraId="79A51DDE" w14:textId="4D5759B6" w:rsidR="009C0929" w:rsidRDefault="009C0929" w:rsidP="009C0929">
                          <w:pPr>
                            <w:bidi/>
                            <w:rPr>
                              <w:rFonts w:cs="B Mehr"/>
                            </w:rPr>
                          </w:pPr>
                          <w:r>
                            <w:rPr>
                              <w:rFonts w:cs="B Mehr" w:hint="cs"/>
                              <w:rtl/>
                            </w:rPr>
                            <w:t>تقریر درس خارج فقه،  استاد حاج سید علی موسوی اردبیلی</w:t>
                          </w:r>
                          <w:r>
                            <w:rPr>
                              <w:rFonts w:cs="B Mehr" w:hint="cs"/>
                            </w:rPr>
                            <w:t xml:space="preserve"> </w:t>
                          </w:r>
                        </w:p>
                        <w:p w14:paraId="4E77B786" w14:textId="77777777" w:rsidR="009C0929" w:rsidRDefault="009C0929" w:rsidP="009C0929">
                          <w:pPr>
                            <w:jc w:val="right"/>
                            <w:rPr>
                              <w:rFonts w:cs="B Mehr"/>
                            </w:rPr>
                          </w:pPr>
                          <w:r>
                            <w:rPr>
                              <w:rFonts w:cs="B Mehr" w:hint="cs"/>
                              <w:rtl/>
                            </w:rPr>
                            <w:t xml:space="preserve">مبحث: نکاح    / مهر </w:t>
                          </w:r>
                        </w:p>
                        <w:p w14:paraId="61C85C7B" w14:textId="31207F3E" w:rsidR="009C0929" w:rsidRDefault="009C0929" w:rsidP="009C0929">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1</w:t>
                          </w:r>
                          <w:r>
                            <w:rPr>
                              <w:rFonts w:cs="B Mehr" w:hint="cs"/>
                              <w:rtl/>
                            </w:rPr>
                            <w:t>3</w:t>
                          </w:r>
                          <w:r>
                            <w:rPr>
                              <w:rFonts w:cs="B Mehr" w:hint="cs"/>
                              <w:rtl/>
                            </w:rPr>
                            <w:t>آذر  ماه - 1402ه.ش</w:t>
                          </w:r>
                        </w:p>
                        <w:p w14:paraId="5E90BB7D" w14:textId="77777777" w:rsidR="009C0929" w:rsidRDefault="009C0929" w:rsidP="009C0929"/>
                        <w:p w14:paraId="71759E52" w14:textId="77777777" w:rsidR="009C0929" w:rsidRDefault="009C0929" w:rsidP="009C0929"/>
                        <w:p w14:paraId="4847AFEB" w14:textId="77777777" w:rsidR="009C0929" w:rsidRDefault="009C0929" w:rsidP="009C0929"/>
                        <w:p w14:paraId="0134953B" w14:textId="77777777" w:rsidR="009C0929" w:rsidRDefault="009C0929" w:rsidP="009C0929"/>
                        <w:p w14:paraId="594D9727" w14:textId="77777777" w:rsidR="009C0929" w:rsidRDefault="009C0929" w:rsidP="009C0929"/>
                        <w:p w14:paraId="10AC9F25" w14:textId="77777777" w:rsidR="009C0929" w:rsidRDefault="009C0929" w:rsidP="009C0929"/>
                        <w:p w14:paraId="49620391" w14:textId="77777777" w:rsidR="009C0929" w:rsidRDefault="009C0929" w:rsidP="009C0929"/>
                        <w:p w14:paraId="502FA332" w14:textId="77777777" w:rsidR="009C0929" w:rsidRDefault="009C0929" w:rsidP="009C0929"/>
                        <w:p w14:paraId="5E683178" w14:textId="7760883C" w:rsidR="009C0929" w:rsidRDefault="009C09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0A28B" id="_x0000_t202" coordsize="21600,21600" o:spt="202" path="m,l,21600r21600,l21600,xe">
              <v:stroke joinstyle="miter"/>
              <v:path gradientshapeok="t" o:connecttype="rect"/>
            </v:shapetype>
            <v:shape id="Text Box 2" o:spid="_x0000_s1026" type="#_x0000_t202" style="position:absolute;margin-left:107.3pt;margin-top:14.4pt;width:339pt;height:11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" stroked="f">
              <v:textbox>
                <w:txbxContent>
                  <w:p w14:paraId="79A51DDE" w14:textId="4D5759B6" w:rsidR="009C0929" w:rsidRDefault="009C0929" w:rsidP="009C0929">
                    <w:pPr>
                      <w:bidi/>
                      <w:rPr>
                        <w:rFonts w:cs="B Mehr"/>
                      </w:rPr>
                    </w:pPr>
                    <w:r>
                      <w:rPr>
                        <w:rFonts w:cs="B Mehr" w:hint="cs"/>
                        <w:rtl/>
                      </w:rPr>
                      <w:t>تقریر درس خارج فقه،  استاد حاج سید علی موسوی اردبیلی</w:t>
                    </w:r>
                    <w:r>
                      <w:rPr>
                        <w:rFonts w:cs="B Mehr" w:hint="cs"/>
                      </w:rPr>
                      <w:t xml:space="preserve"> </w:t>
                    </w:r>
                  </w:p>
                  <w:p w14:paraId="4E77B786" w14:textId="77777777" w:rsidR="009C0929" w:rsidRDefault="009C0929" w:rsidP="009C0929">
                    <w:pPr>
                      <w:jc w:val="right"/>
                      <w:rPr>
                        <w:rFonts w:cs="B Mehr"/>
                      </w:rPr>
                    </w:pPr>
                    <w:r>
                      <w:rPr>
                        <w:rFonts w:cs="B Mehr" w:hint="cs"/>
                        <w:rtl/>
                      </w:rPr>
                      <w:t xml:space="preserve">مبحث: نکاح    / مهر </w:t>
                    </w:r>
                  </w:p>
                  <w:p w14:paraId="61C85C7B" w14:textId="31207F3E" w:rsidR="009C0929" w:rsidRDefault="009C0929" w:rsidP="009C0929">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1</w:t>
                    </w:r>
                    <w:r>
                      <w:rPr>
                        <w:rFonts w:cs="B Mehr" w:hint="cs"/>
                        <w:rtl/>
                      </w:rPr>
                      <w:t>3</w:t>
                    </w:r>
                    <w:r>
                      <w:rPr>
                        <w:rFonts w:cs="B Mehr" w:hint="cs"/>
                        <w:rtl/>
                      </w:rPr>
                      <w:t>آذر  ماه - 1402ه.ش</w:t>
                    </w:r>
                  </w:p>
                  <w:p w14:paraId="5E90BB7D" w14:textId="77777777" w:rsidR="009C0929" w:rsidRDefault="009C0929" w:rsidP="009C0929"/>
                  <w:p w14:paraId="71759E52" w14:textId="77777777" w:rsidR="009C0929" w:rsidRDefault="009C0929" w:rsidP="009C0929"/>
                  <w:p w14:paraId="4847AFEB" w14:textId="77777777" w:rsidR="009C0929" w:rsidRDefault="009C0929" w:rsidP="009C0929"/>
                  <w:p w14:paraId="0134953B" w14:textId="77777777" w:rsidR="009C0929" w:rsidRDefault="009C0929" w:rsidP="009C0929"/>
                  <w:p w14:paraId="594D9727" w14:textId="77777777" w:rsidR="009C0929" w:rsidRDefault="009C0929" w:rsidP="009C0929"/>
                  <w:p w14:paraId="10AC9F25" w14:textId="77777777" w:rsidR="009C0929" w:rsidRDefault="009C0929" w:rsidP="009C0929"/>
                  <w:p w14:paraId="49620391" w14:textId="77777777" w:rsidR="009C0929" w:rsidRDefault="009C0929" w:rsidP="009C0929"/>
                  <w:p w14:paraId="502FA332" w14:textId="77777777" w:rsidR="009C0929" w:rsidRDefault="009C0929" w:rsidP="009C0929"/>
                  <w:p w14:paraId="5E683178" w14:textId="7760883C" w:rsidR="009C0929" w:rsidRDefault="009C092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D3E6856" wp14:editId="3E3588D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B80F7" w14:textId="77777777" w:rsidR="009C0929" w:rsidRDefault="009C0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31BF"/>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61EF"/>
    <w:rsid w:val="00336518"/>
    <w:rsid w:val="00343E6A"/>
    <w:rsid w:val="00346F0F"/>
    <w:rsid w:val="00350588"/>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36C1"/>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0929"/>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857"/>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4B33"/>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60195"/>
    <w:rsid w:val="00B6154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10008</TotalTime>
  <Pages>1</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1213</cp:revision>
  <cp:lastPrinted>2023-12-03T08:12:00Z</cp:lastPrinted>
  <dcterms:created xsi:type="dcterms:W3CDTF">2022-10-16T08:36:00Z</dcterms:created>
  <dcterms:modified xsi:type="dcterms:W3CDTF">2023-12-04T07:38:00Z</dcterms:modified>
</cp:coreProperties>
</file>